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F21" w:rsidRPr="00413F21" w:rsidRDefault="00247B76" w:rsidP="00413F21">
      <w:pPr>
        <w:pStyle w:val="NoSpacing"/>
      </w:pPr>
      <w:r>
        <w:t>November 14, 2019</w:t>
      </w:r>
    </w:p>
    <w:p w:rsidR="00413F21" w:rsidRDefault="00413F21" w:rsidP="00413F21">
      <w:pPr>
        <w:pStyle w:val="NoSpacing"/>
        <w:rPr>
          <w:b/>
        </w:rPr>
      </w:pPr>
    </w:p>
    <w:p w:rsidR="00550BAC" w:rsidRPr="00713847" w:rsidRDefault="00413F21" w:rsidP="00413F21">
      <w:pPr>
        <w:pStyle w:val="NoSpacing"/>
      </w:pPr>
      <w:r>
        <w:rPr>
          <w:b/>
        </w:rPr>
        <w:t>To:</w:t>
      </w:r>
      <w:r w:rsidR="00713847">
        <w:t xml:space="preserve"> </w:t>
      </w:r>
      <w:r w:rsidR="00247B76">
        <w:t>Senate Transportation Committee</w:t>
      </w:r>
    </w:p>
    <w:p w:rsidR="00413F21" w:rsidRPr="00713847" w:rsidRDefault="00413F21" w:rsidP="00413F21">
      <w:pPr>
        <w:pStyle w:val="NoSpacing"/>
      </w:pPr>
      <w:r>
        <w:rPr>
          <w:b/>
        </w:rPr>
        <w:t>From:</w:t>
      </w:r>
      <w:r w:rsidR="00713847">
        <w:t xml:space="preserve"> </w:t>
      </w:r>
      <w:r w:rsidR="00247B76">
        <w:t>Eric Blomgren</w:t>
      </w:r>
      <w:r w:rsidR="00713847">
        <w:t xml:space="preserve">, </w:t>
      </w:r>
      <w:r w:rsidR="00247B76">
        <w:t>Associate</w:t>
      </w:r>
      <w:r w:rsidR="00713847">
        <w:t xml:space="preserve"> Director</w:t>
      </w:r>
      <w:r w:rsidR="00247B76">
        <w:t xml:space="preserve"> of Government Affairs</w:t>
      </w:r>
      <w:r w:rsidR="00713847">
        <w:t>, N</w:t>
      </w:r>
      <w:r w:rsidR="00247B76">
        <w:t xml:space="preserve">ew </w:t>
      </w:r>
      <w:r w:rsidR="00713847">
        <w:t>J</w:t>
      </w:r>
      <w:r w:rsidR="00247B76">
        <w:t>ersey</w:t>
      </w:r>
      <w:r w:rsidR="00713847">
        <w:t xml:space="preserve"> Gasoline, Convenience Store, Automotive Association</w:t>
      </w:r>
    </w:p>
    <w:p w:rsidR="00413F21" w:rsidRDefault="00413F21" w:rsidP="00413F21">
      <w:pPr>
        <w:pStyle w:val="NoSpacing"/>
      </w:pPr>
    </w:p>
    <w:p w:rsidR="00761650" w:rsidRDefault="00413F21" w:rsidP="007D6E3D">
      <w:pPr>
        <w:pStyle w:val="NoSpacing"/>
      </w:pPr>
      <w:r>
        <w:rPr>
          <w:b/>
        </w:rPr>
        <w:t>Re:</w:t>
      </w:r>
      <w:r w:rsidR="008E5893">
        <w:t xml:space="preserve"> </w:t>
      </w:r>
      <w:r w:rsidR="00247B76">
        <w:t>Support S-4090 “</w:t>
      </w:r>
      <w:r w:rsidR="00AF1EE4">
        <w:t>Establishes ‘</w:t>
      </w:r>
      <w:r w:rsidR="00247B76" w:rsidRPr="00247B76">
        <w:t>Alternative Fuel Vehicle Transportation Financing Commission</w:t>
      </w:r>
      <w:r w:rsidR="00AF1EE4">
        <w:t>’</w:t>
      </w:r>
      <w:r w:rsidR="00247B76" w:rsidRPr="00247B76">
        <w:t xml:space="preserve"> to examine manner in which alternative fuel vehicles may be taxed to contribute to cost of maintaining State transportation system.</w:t>
      </w:r>
      <w:r w:rsidR="00247B76">
        <w:t>”</w:t>
      </w:r>
    </w:p>
    <w:p w:rsidR="009C685A" w:rsidRDefault="009C685A" w:rsidP="007D6E3D">
      <w:pPr>
        <w:pStyle w:val="NoSpacing"/>
      </w:pPr>
    </w:p>
    <w:p w:rsidR="00F5118F" w:rsidRDefault="009C685A" w:rsidP="00803E4B">
      <w:pPr>
        <w:pStyle w:val="NoSpacing"/>
        <w:jc w:val="both"/>
      </w:pPr>
      <w:r>
        <w:t xml:space="preserve">Chair Diegnan, members of the Committee, thank you for holding a hearing this afternoon on </w:t>
      </w:r>
      <w:r w:rsidR="00A77B7A">
        <w:t xml:space="preserve">an </w:t>
      </w:r>
      <w:r w:rsidR="00AF1EE4">
        <w:t>important long-</w:t>
      </w:r>
      <w:r>
        <w:t xml:space="preserve">term challenge facing the state. </w:t>
      </w:r>
      <w:r w:rsidR="00DE1F18">
        <w:t>For the last several years, we at NJGCA have been closely following all developments with the state’s various taxe</w:t>
      </w:r>
      <w:r w:rsidR="00F5118F">
        <w:t xml:space="preserve">s on motor fuels, with a particular focus on the impact of </w:t>
      </w:r>
      <w:r w:rsidR="006A601F">
        <w:t xml:space="preserve">P.L.2016, Chapter 57, </w:t>
      </w:r>
      <w:proofErr w:type="gramStart"/>
      <w:r w:rsidR="00F5118F">
        <w:t>the</w:t>
      </w:r>
      <w:proofErr w:type="gramEnd"/>
      <w:r w:rsidR="00F5118F">
        <w:t xml:space="preserve"> tax reform bill which increased the petroleum products gross receipts tax</w:t>
      </w:r>
      <w:r w:rsidR="006A601F">
        <w:t xml:space="preserve"> (PPGRT</w:t>
      </w:r>
      <w:r w:rsidR="00F5118F">
        <w:t xml:space="preserve">). </w:t>
      </w:r>
    </w:p>
    <w:p w:rsidR="00F5118F" w:rsidRDefault="00F5118F" w:rsidP="00803E4B">
      <w:pPr>
        <w:pStyle w:val="NoSpacing"/>
        <w:jc w:val="both"/>
      </w:pPr>
    </w:p>
    <w:p w:rsidR="00F5118F" w:rsidRDefault="00E23DB9" w:rsidP="00803E4B">
      <w:pPr>
        <w:pStyle w:val="NoSpacing"/>
        <w:jc w:val="both"/>
      </w:pPr>
      <w:r>
        <w:t xml:space="preserve">As you are all likely aware, that law included a provision requiring the state Treasurer to </w:t>
      </w:r>
      <w:r w:rsidR="006A601F">
        <w:t>annually adjust the per-gallon rate of taxation on motor fuel so that the State would collect almost exactly $2 billion per year from the fuel excise taxes and PPGRT.</w:t>
      </w:r>
      <w:r w:rsidR="00A77B7A">
        <w:t xml:space="preserve"> This adjustment will continue to be made every year through</w:t>
      </w:r>
      <w:r w:rsidR="00AF1EE4">
        <w:t xml:space="preserve"> the end of</w:t>
      </w:r>
      <w:r w:rsidR="00A77B7A">
        <w:t xml:space="preserve"> Fiscal Year 2024, when the current Transportation Trust Fund (TTF) authorization runs out. </w:t>
      </w:r>
    </w:p>
    <w:p w:rsidR="00291E01" w:rsidRDefault="00291E01" w:rsidP="00803E4B">
      <w:pPr>
        <w:pStyle w:val="NoSpacing"/>
        <w:jc w:val="both"/>
      </w:pPr>
    </w:p>
    <w:p w:rsidR="00E23DB9" w:rsidRDefault="00291E01" w:rsidP="00803E4B">
      <w:pPr>
        <w:pStyle w:val="NoSpacing"/>
        <w:jc w:val="both"/>
      </w:pPr>
      <w:r>
        <w:t>Since the enactment of Chapter 57 in November 2016, the rate has increase 4.3¢</w:t>
      </w:r>
      <w:r w:rsidR="00F2506E">
        <w:t xml:space="preserve"> a gallon</w:t>
      </w:r>
      <w:r>
        <w:t>, and will almost certainly increase next October</w:t>
      </w:r>
      <w:r w:rsidR="008D6661">
        <w:t xml:space="preserve"> 1</w:t>
      </w:r>
      <w:r w:rsidR="008D6661" w:rsidRPr="008D6661">
        <w:rPr>
          <w:vertAlign w:val="superscript"/>
        </w:rPr>
        <w:t>st</w:t>
      </w:r>
      <w:r w:rsidR="008D6661">
        <w:t>, perhaps by several cents</w:t>
      </w:r>
      <w:r>
        <w:t xml:space="preserve">. </w:t>
      </w:r>
      <w:r w:rsidR="00803E4B">
        <w:t xml:space="preserve">What drives these increases is the declining number of total gallons of motor fuel sold in the state per year. </w:t>
      </w:r>
      <w:r w:rsidR="006B14B2">
        <w:t>As more and more alternatively powered vehicles join the roadways, the total number of gallons will only continue to decline and the rate of decline will surely increase, leading to higher a</w:t>
      </w:r>
      <w:r w:rsidR="00C9635C">
        <w:t xml:space="preserve">nd higher gas taxes for those who cannot afford battery-electric and hydrogen fuel cell vehicles. Given that the gas tax is inherently a regressive tax, unstoppable annual increases will cause greater and greater hardship. </w:t>
      </w:r>
    </w:p>
    <w:p w:rsidR="00E23DB9" w:rsidRDefault="00E23DB9" w:rsidP="00803E4B">
      <w:pPr>
        <w:pStyle w:val="NoSpacing"/>
        <w:jc w:val="both"/>
      </w:pPr>
    </w:p>
    <w:p w:rsidR="00E23DB9" w:rsidRDefault="00C9635C" w:rsidP="00803E4B">
      <w:pPr>
        <w:pStyle w:val="NoSpacing"/>
        <w:jc w:val="both"/>
      </w:pPr>
      <w:r>
        <w:t>That is why it is important that one of the recommendations to come out of this Commission be a requirement that a</w:t>
      </w:r>
      <w:r w:rsidR="00E23DB9">
        <w:t xml:space="preserve">ll revenue collected as part of whatever fee is instituted should be dedicated </w:t>
      </w:r>
      <w:r>
        <w:t xml:space="preserve">entirely </w:t>
      </w:r>
      <w:r w:rsidR="00E23DB9">
        <w:t xml:space="preserve">to the TTF, and furthermore the law should be amended in order to ensure that </w:t>
      </w:r>
      <w:r>
        <w:t>all of this new</w:t>
      </w:r>
      <w:r w:rsidR="00E23DB9">
        <w:t xml:space="preserve"> revenue counts towards the </w:t>
      </w:r>
      <w:r>
        <w:t>calculation of the “</w:t>
      </w:r>
      <w:r w:rsidR="00E23DB9">
        <w:t>highway fuel cap</w:t>
      </w:r>
      <w:r>
        <w:t>”</w:t>
      </w:r>
      <w:r w:rsidR="00E23DB9">
        <w:t>, making it easier to hit that $2 billion requirement</w:t>
      </w:r>
      <w:r w:rsidR="0060364F">
        <w:t>, and solving the problem of runaway gas tax increases</w:t>
      </w:r>
      <w:r w:rsidR="00E23DB9">
        <w:t xml:space="preserve">. </w:t>
      </w:r>
    </w:p>
    <w:p w:rsidR="004A2A6C" w:rsidRDefault="004A2A6C" w:rsidP="00803E4B">
      <w:pPr>
        <w:pStyle w:val="NoSpacing"/>
        <w:jc w:val="both"/>
      </w:pPr>
    </w:p>
    <w:p w:rsidR="00247B76" w:rsidRDefault="004A2A6C" w:rsidP="00803E4B">
      <w:pPr>
        <w:pStyle w:val="NoSpacing"/>
        <w:jc w:val="both"/>
      </w:pPr>
      <w:r>
        <w:t>When the 8-year TTF authorization</w:t>
      </w:r>
      <w:r w:rsidR="00CD22EA">
        <w:t xml:space="preserve"> was passed in 2016, there was some</w:t>
      </w:r>
      <w:r>
        <w:t xml:space="preserve"> discussion about studying how to fairly and equitably tax vehicles using the roads while paying zero into the TTF (or </w:t>
      </w:r>
      <w:r w:rsidR="00CD22EA">
        <w:t xml:space="preserve">only </w:t>
      </w:r>
      <w:r w:rsidR="00CD22EA">
        <w:lastRenderedPageBreak/>
        <w:t>paying a portion of their fair share</w:t>
      </w:r>
      <w:r>
        <w:t xml:space="preserve"> in the case of a hybrid). </w:t>
      </w:r>
      <w:r w:rsidR="00D36E06">
        <w:t xml:space="preserve">In the years since, there has been little to no further action on addressing this problem, and I thank the Committee for moving this bill in order to start addressing it. </w:t>
      </w:r>
    </w:p>
    <w:p w:rsidR="00AF1EE4" w:rsidRDefault="00AF1EE4" w:rsidP="00803E4B">
      <w:pPr>
        <w:pStyle w:val="NoSpacing"/>
        <w:jc w:val="both"/>
      </w:pPr>
    </w:p>
    <w:p w:rsidR="00AF1EE4" w:rsidRDefault="00AF1EE4" w:rsidP="00803E4B">
      <w:pPr>
        <w:pStyle w:val="NoSpacing"/>
        <w:jc w:val="both"/>
      </w:pPr>
      <w:r>
        <w:t>I ask that you support this bill.</w:t>
      </w:r>
      <w:r w:rsidR="007C0AF6">
        <w:t xml:space="preserve"> </w:t>
      </w:r>
      <w:bookmarkStart w:id="0" w:name="_GoBack"/>
      <w:bookmarkEnd w:id="0"/>
      <w:r>
        <w:t xml:space="preserve">Thank you. </w:t>
      </w:r>
    </w:p>
    <w:p w:rsidR="008E5893" w:rsidRDefault="008E5893" w:rsidP="00803E4B">
      <w:pPr>
        <w:pStyle w:val="NoSpacing"/>
        <w:jc w:val="both"/>
      </w:pPr>
    </w:p>
    <w:p w:rsidR="00247B76" w:rsidRPr="00413F21" w:rsidRDefault="00247B76" w:rsidP="00803E4B">
      <w:pPr>
        <w:pStyle w:val="NoSpacing"/>
        <w:jc w:val="both"/>
      </w:pPr>
    </w:p>
    <w:sectPr w:rsidR="00247B76" w:rsidRPr="00413F21" w:rsidSect="007C0AF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F21" w:rsidRDefault="00413F21" w:rsidP="00413F21">
      <w:pPr>
        <w:spacing w:after="0" w:line="240" w:lineRule="auto"/>
      </w:pPr>
      <w:r>
        <w:separator/>
      </w:r>
    </w:p>
  </w:endnote>
  <w:endnote w:type="continuationSeparator" w:id="0">
    <w:p w:rsidR="00413F21" w:rsidRDefault="00413F21" w:rsidP="00413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1682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141C" w:rsidRDefault="002A14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0A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141C" w:rsidRDefault="002A14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31272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3F21" w:rsidRDefault="00413F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0A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3F21" w:rsidRDefault="00413F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F21" w:rsidRDefault="00413F21" w:rsidP="00413F21">
      <w:pPr>
        <w:spacing w:after="0" w:line="240" w:lineRule="auto"/>
      </w:pPr>
      <w:r>
        <w:separator/>
      </w:r>
    </w:p>
  </w:footnote>
  <w:footnote w:type="continuationSeparator" w:id="0">
    <w:p w:rsidR="00413F21" w:rsidRDefault="00413F21" w:rsidP="00413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41C" w:rsidRDefault="007C0AF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27388" o:spid="_x0000_s1026" type="#_x0000_t75" style="position:absolute;margin-left:0;margin-top:0;width:467.2pt;height:222.25pt;z-index:-251657216;mso-position-horizontal:center;mso-position-horizontal-relative:margin;mso-position-vertical:center;mso-position-vertical-relative:margin" o:allowincell="f">
          <v:imagedata r:id="rId1" o:title="NJGCA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F21" w:rsidRDefault="007C0AF6" w:rsidP="00413F21">
    <w:pPr>
      <w:pStyle w:val="Head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27389" o:spid="_x0000_s1027" type="#_x0000_t75" style="position:absolute;left:0;text-align:left;margin-left:0;margin-top:0;width:467.2pt;height:222.25pt;z-index:-251656192;mso-position-horizontal:center;mso-position-horizontal-relative:margin;mso-position-vertical:center;mso-position-vertical-relative:margin" o:allowincell="f">
          <v:imagedata r:id="rId1" o:title="NJGCA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F21" w:rsidRDefault="007C0AF6" w:rsidP="00413F21">
    <w:pPr>
      <w:pStyle w:val="Header"/>
      <w:ind w:left="-810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27387" o:spid="_x0000_s1025" type="#_x0000_t75" style="position:absolute;left:0;text-align:left;margin-left:0;margin-top:0;width:467.2pt;height:222.25pt;z-index:-251658240;mso-position-horizontal:center;mso-position-horizontal-relative:margin;mso-position-vertical:center;mso-position-vertical-relative:margin" o:allowincell="f">
          <v:imagedata r:id="rId1" o:title="NJGCA Logo" gain="19661f" blacklevel="22938f"/>
          <w10:wrap anchorx="margin" anchory="margin"/>
        </v:shape>
      </w:pict>
    </w:r>
    <w:r w:rsidR="00413F21">
      <w:rPr>
        <w:noProof/>
      </w:rPr>
      <w:drawing>
        <wp:inline distT="0" distB="0" distL="0" distR="0">
          <wp:extent cx="6715125" cy="1209675"/>
          <wp:effectExtent l="0" t="0" r="9525" b="9525"/>
          <wp:docPr id="4" name="Picture 4" descr="Letterhead 08-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etterhead 08-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512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21"/>
    <w:rsid w:val="00247B76"/>
    <w:rsid w:val="00291E01"/>
    <w:rsid w:val="002A141C"/>
    <w:rsid w:val="003B0DE2"/>
    <w:rsid w:val="00413F21"/>
    <w:rsid w:val="004A2A6C"/>
    <w:rsid w:val="00550BAC"/>
    <w:rsid w:val="0060364F"/>
    <w:rsid w:val="00641E4B"/>
    <w:rsid w:val="0069268D"/>
    <w:rsid w:val="006A601F"/>
    <w:rsid w:val="006B14B2"/>
    <w:rsid w:val="00713847"/>
    <w:rsid w:val="00761650"/>
    <w:rsid w:val="007C0AF6"/>
    <w:rsid w:val="007D2F13"/>
    <w:rsid w:val="007D6E3D"/>
    <w:rsid w:val="00803E4B"/>
    <w:rsid w:val="008D6661"/>
    <w:rsid w:val="008E5893"/>
    <w:rsid w:val="009B4692"/>
    <w:rsid w:val="009C685A"/>
    <w:rsid w:val="00A77B7A"/>
    <w:rsid w:val="00AF1EE4"/>
    <w:rsid w:val="00C55F41"/>
    <w:rsid w:val="00C9635C"/>
    <w:rsid w:val="00CA37B8"/>
    <w:rsid w:val="00CD22EA"/>
    <w:rsid w:val="00D36E06"/>
    <w:rsid w:val="00DE1F18"/>
    <w:rsid w:val="00E23DB9"/>
    <w:rsid w:val="00F2506E"/>
    <w:rsid w:val="00F5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11DD010-9AE7-4A4C-A273-C04071D6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D2F13"/>
    <w:pPr>
      <w:spacing w:after="0" w:line="276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13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F21"/>
  </w:style>
  <w:style w:type="paragraph" w:styleId="Footer">
    <w:name w:val="footer"/>
    <w:basedOn w:val="Normal"/>
    <w:link w:val="FooterChar"/>
    <w:uiPriority w:val="99"/>
    <w:unhideWhenUsed/>
    <w:rsid w:val="00413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30608-BC74-42D7-9262-FAC70CA10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Blomgren</dc:creator>
  <cp:keywords/>
  <dc:description/>
  <cp:lastModifiedBy>Eric Blomgren</cp:lastModifiedBy>
  <cp:revision>21</cp:revision>
  <dcterms:created xsi:type="dcterms:W3CDTF">2019-11-13T21:39:00Z</dcterms:created>
  <dcterms:modified xsi:type="dcterms:W3CDTF">2019-11-13T23:25:00Z</dcterms:modified>
</cp:coreProperties>
</file>